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F3" w:rsidRDefault="00AC4AF3" w:rsidP="00AC4AF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AC4AF3" w:rsidRDefault="00AC4AF3" w:rsidP="00AC4AF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реализации мероприятий национального проекта «Образование» на территории Южного управления министерства образования и науки Самарской области</w:t>
      </w:r>
    </w:p>
    <w:p w:rsidR="00AC4AF3" w:rsidRDefault="00AC4AF3" w:rsidP="00AC4AF3">
      <w:pPr>
        <w:ind w:firstLine="709"/>
        <w:jc w:val="center"/>
        <w:rPr>
          <w:sz w:val="28"/>
          <w:szCs w:val="28"/>
        </w:rPr>
      </w:pPr>
    </w:p>
    <w:p w:rsidR="00AC4AF3" w:rsidRDefault="00AC4AF3" w:rsidP="00AC4AF3">
      <w:pPr>
        <w:ind w:firstLine="709"/>
        <w:jc w:val="both"/>
        <w:rPr>
          <w:sz w:val="28"/>
          <w:szCs w:val="28"/>
        </w:rPr>
      </w:pPr>
      <w:r w:rsidRPr="00F06CD9">
        <w:rPr>
          <w:sz w:val="28"/>
          <w:szCs w:val="28"/>
        </w:rPr>
        <w:t xml:space="preserve">На реализацию национального проекта «Образование» на территории </w:t>
      </w:r>
      <w:r>
        <w:rPr>
          <w:sz w:val="28"/>
          <w:szCs w:val="28"/>
        </w:rPr>
        <w:t>Южного управления</w:t>
      </w:r>
      <w:r w:rsidRPr="00F06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году </w:t>
      </w:r>
      <w:r w:rsidRPr="00F06CD9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следующее финансирование:</w:t>
      </w:r>
    </w:p>
    <w:p w:rsidR="00AC4AF3" w:rsidRDefault="00AC4AF3" w:rsidP="00AC4AF3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C4AF3" w:rsidTr="007B6D0E">
        <w:tc>
          <w:tcPr>
            <w:tcW w:w="3190" w:type="dxa"/>
          </w:tcPr>
          <w:p w:rsidR="00AC4AF3" w:rsidRDefault="00AC4AF3" w:rsidP="007B6D0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</w:p>
          <w:p w:rsidR="00AC4AF3" w:rsidRDefault="00AC4AF3" w:rsidP="007B6D0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3190" w:type="dxa"/>
          </w:tcPr>
          <w:p w:rsidR="00AC4AF3" w:rsidRDefault="00AC4AF3" w:rsidP="007B6D0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  <w:p w:rsidR="00AC4AF3" w:rsidRDefault="00AC4AF3" w:rsidP="007B6D0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3191" w:type="dxa"/>
          </w:tcPr>
          <w:p w:rsidR="00AC4AF3" w:rsidRDefault="00AC4AF3" w:rsidP="007B6D0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</w:tr>
      <w:tr w:rsidR="00AC4AF3" w:rsidTr="007B6D0E">
        <w:tc>
          <w:tcPr>
            <w:tcW w:w="3190" w:type="dxa"/>
          </w:tcPr>
          <w:p w:rsidR="00AC4AF3" w:rsidRDefault="00AC4AF3" w:rsidP="007B6D0E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C4AF3" w:rsidRDefault="00AC4AF3" w:rsidP="007B6D0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2,7756 млн. руб.</w:t>
            </w:r>
          </w:p>
          <w:p w:rsidR="00AC4AF3" w:rsidRDefault="00AC4AF3" w:rsidP="007B6D0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C4AF3" w:rsidRDefault="00AC4AF3" w:rsidP="007B6D0E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C4AF3" w:rsidRDefault="00AC4AF3" w:rsidP="007B6D0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8987 млн. руб.</w:t>
            </w:r>
          </w:p>
        </w:tc>
        <w:tc>
          <w:tcPr>
            <w:tcW w:w="3191" w:type="dxa"/>
          </w:tcPr>
          <w:p w:rsidR="00AC4AF3" w:rsidRDefault="00AC4AF3" w:rsidP="007B6D0E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C4AF3" w:rsidRDefault="00AC4AF3" w:rsidP="007B6D0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0,564 млн. руб.</w:t>
            </w:r>
          </w:p>
        </w:tc>
      </w:tr>
    </w:tbl>
    <w:p w:rsidR="00AC4AF3" w:rsidRDefault="00AC4AF3" w:rsidP="00AC4AF3">
      <w:pPr>
        <w:ind w:firstLine="709"/>
        <w:jc w:val="both"/>
        <w:rPr>
          <w:sz w:val="28"/>
          <w:szCs w:val="28"/>
        </w:rPr>
      </w:pPr>
    </w:p>
    <w:p w:rsidR="00AC4AF3" w:rsidRDefault="00AC4AF3" w:rsidP="00AC4A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регионального проекта «Успех каждого ребенка» в ГБОУ ООШ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Тамбовка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за счет средств регионального бюджета проводится капитальный ремонт спортивного зала, за счет средств муниципального бюджета в спортзал будет закуплено современное спортивное оборудование.</w:t>
      </w:r>
    </w:p>
    <w:p w:rsidR="00AC4AF3" w:rsidRDefault="00AC4AF3" w:rsidP="00AC4AF3">
      <w:pPr>
        <w:spacing w:line="360" w:lineRule="auto"/>
        <w:ind w:firstLine="709"/>
        <w:jc w:val="both"/>
        <w:rPr>
          <w:sz w:val="28"/>
          <w:szCs w:val="28"/>
        </w:rPr>
      </w:pPr>
      <w:r w:rsidRPr="00DD03FC">
        <w:rPr>
          <w:sz w:val="28"/>
          <w:szCs w:val="28"/>
        </w:rPr>
        <w:t xml:space="preserve">В рамках регионального проекта «Современная школа» в сентябре 2019 года в </w:t>
      </w:r>
      <w:r>
        <w:rPr>
          <w:sz w:val="28"/>
          <w:szCs w:val="28"/>
        </w:rPr>
        <w:t xml:space="preserve">ГБОУ СОШ «ОЦ» им. С.С. </w:t>
      </w:r>
      <w:proofErr w:type="spellStart"/>
      <w:r>
        <w:rPr>
          <w:sz w:val="28"/>
          <w:szCs w:val="28"/>
        </w:rPr>
        <w:t>Заруднева</w:t>
      </w:r>
      <w:proofErr w:type="spellEnd"/>
      <w:r>
        <w:rPr>
          <w:sz w:val="28"/>
          <w:szCs w:val="28"/>
        </w:rPr>
        <w:t xml:space="preserve">  и ГБОУ СОШ «ОЦ» пос. 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 откроются</w:t>
      </w:r>
      <w:r w:rsidRPr="00DD03F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</w:t>
      </w:r>
      <w:r w:rsidRPr="00DD03FC">
        <w:rPr>
          <w:sz w:val="28"/>
          <w:szCs w:val="28"/>
        </w:rPr>
        <w:t xml:space="preserve"> образования цифрового и гуманитарного профилей «Точка роста»</w:t>
      </w:r>
      <w:r>
        <w:rPr>
          <w:sz w:val="28"/>
          <w:szCs w:val="28"/>
        </w:rPr>
        <w:t xml:space="preserve">. В настоящее время 18 педагогов, которые будут работать в центре «Точка роста», успешно прошли дистанционное обучение и получили сертификаты, в августе 3 учителя технологии пройдут очное обучение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Воронеже.</w:t>
      </w:r>
    </w:p>
    <w:p w:rsidR="00AC4AF3" w:rsidRDefault="00AC4AF3" w:rsidP="00AC4A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обновления содержаний и методов освоения предметной области «Технология» в ГБОУ СОШ №1 с. Большая Черниговка за счет средств регионального бюджета будет поставлено современное оборудование, что позволит более качественно формировать у учащихся современные технологические компетенции и навыки. 5 июля 2019 года в школе начат ремонт кабинетов, где будет размещено современное оборудование.</w:t>
      </w:r>
      <w:proofErr w:type="gramEnd"/>
    </w:p>
    <w:p w:rsidR="00AC4AF3" w:rsidRDefault="00AC4AF3" w:rsidP="00AC4A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proofErr w:type="gramStart"/>
      <w:r>
        <w:rPr>
          <w:sz w:val="28"/>
          <w:szCs w:val="28"/>
        </w:rPr>
        <w:t>развития со</w:t>
      </w:r>
      <w:r w:rsidRPr="00580442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Pr="00580442">
        <w:rPr>
          <w:sz w:val="28"/>
          <w:szCs w:val="28"/>
        </w:rPr>
        <w:t xml:space="preserve"> системы современных высокотехнологичных площадок интеллектуального развития</w:t>
      </w:r>
      <w:proofErr w:type="gramEnd"/>
      <w:r w:rsidRPr="00580442">
        <w:rPr>
          <w:sz w:val="28"/>
          <w:szCs w:val="28"/>
        </w:rPr>
        <w:t xml:space="preserve"> и досуга для </w:t>
      </w:r>
      <w:r w:rsidRPr="00580442">
        <w:rPr>
          <w:sz w:val="28"/>
          <w:szCs w:val="28"/>
        </w:rPr>
        <w:lastRenderedPageBreak/>
        <w:t>детей и подростков</w:t>
      </w:r>
      <w:r>
        <w:t xml:space="preserve"> </w:t>
      </w:r>
      <w:r>
        <w:rPr>
          <w:sz w:val="28"/>
          <w:szCs w:val="28"/>
        </w:rPr>
        <w:t xml:space="preserve">  на базе СП-ЦДТ ГБОУ СОШ №1 «ОЦ» им. В.И. Фокина с. Большая Глушица планируется открыть </w:t>
      </w:r>
      <w:proofErr w:type="spellStart"/>
      <w:r>
        <w:rPr>
          <w:sz w:val="28"/>
          <w:szCs w:val="28"/>
        </w:rPr>
        <w:t>мини-кванториум</w:t>
      </w:r>
      <w:proofErr w:type="spellEnd"/>
      <w:r>
        <w:rPr>
          <w:sz w:val="28"/>
          <w:szCs w:val="28"/>
        </w:rPr>
        <w:t xml:space="preserve">. В настоящее время проводится работа по формированию дизайна помещений, в которых будет располагаться </w:t>
      </w:r>
      <w:proofErr w:type="spellStart"/>
      <w:r>
        <w:rPr>
          <w:sz w:val="28"/>
          <w:szCs w:val="28"/>
        </w:rPr>
        <w:t>мини-кванториум</w:t>
      </w:r>
      <w:proofErr w:type="spellEnd"/>
      <w:r>
        <w:rPr>
          <w:sz w:val="28"/>
          <w:szCs w:val="28"/>
        </w:rPr>
        <w:t>.</w:t>
      </w:r>
    </w:p>
    <w:p w:rsidR="00AC4AF3" w:rsidRDefault="00AC4AF3" w:rsidP="00AC4A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школах округа проводится комплекс мероприятий, направленный на развитие функциональной грамотности обучающихся.</w:t>
      </w:r>
    </w:p>
    <w:p w:rsidR="00AC4AF3" w:rsidRDefault="00AC4AF3" w:rsidP="00AC4A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во всех школах округа созданы условия для получения психолого-педагогической помощи учащимися, родителями, гражданами, желающими принять на воспитание в свои семьи детей, оставшихся без попечения родителей, функционирует служба ранней помощи детям до 3 лет.</w:t>
      </w:r>
    </w:p>
    <w:p w:rsidR="00AC4AF3" w:rsidRDefault="00AC4AF3" w:rsidP="00AC4A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Доля детей в возрасте от 5 до 18 лет, охваченных дополнительным образованием, составляет 85,2%, что уже на данный момент выше, чем в среднем по региону на 6,7%.  При этом следует отметить, что в объединениях технической и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направленности по итогам 2018-2019 учебного года были заняты 19,8% обучающихся, включенных в систему дополнительного образования, в 2017-2018 учебном данный показатель – 19,3%.</w:t>
      </w:r>
      <w:proofErr w:type="gramEnd"/>
    </w:p>
    <w:p w:rsidR="00AC4AF3" w:rsidRDefault="00AC4AF3" w:rsidP="00AC4A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вовлечения молодежи в творческую деятельность проводится огромное количество мероприятий, среди которых следует отметить </w:t>
      </w:r>
      <w:proofErr w:type="spellStart"/>
      <w:r>
        <w:rPr>
          <w:sz w:val="28"/>
          <w:szCs w:val="28"/>
        </w:rPr>
        <w:t>арт-фестиваль</w:t>
      </w:r>
      <w:proofErr w:type="spellEnd"/>
      <w:r>
        <w:rPr>
          <w:sz w:val="28"/>
          <w:szCs w:val="28"/>
        </w:rPr>
        <w:t xml:space="preserve"> «Мост дружбы», </w:t>
      </w:r>
      <w:r w:rsidRPr="00165886">
        <w:rPr>
          <w:sz w:val="28"/>
          <w:szCs w:val="28"/>
        </w:rPr>
        <w:t>творческие сборы лидеров ученического самоуправления «Большая перемена»,</w:t>
      </w:r>
      <w:r>
        <w:rPr>
          <w:sz w:val="18"/>
          <w:szCs w:val="18"/>
        </w:rPr>
        <w:t xml:space="preserve"> </w:t>
      </w:r>
      <w:r w:rsidRPr="00FD1408">
        <w:rPr>
          <w:sz w:val="28"/>
          <w:szCs w:val="28"/>
        </w:rPr>
        <w:t xml:space="preserve">конкурс социального плаката, пропагандирующего чтение «Читать не вредно, вредно не читать», Окружной этап областного конкурса по робототехнике </w:t>
      </w:r>
      <w:proofErr w:type="spellStart"/>
      <w:r w:rsidRPr="00FD1408">
        <w:rPr>
          <w:sz w:val="28"/>
          <w:szCs w:val="28"/>
        </w:rPr>
        <w:t>Икаренок</w:t>
      </w:r>
      <w:proofErr w:type="spellEnd"/>
      <w:r w:rsidRPr="00FD14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1408">
        <w:rPr>
          <w:sz w:val="28"/>
          <w:szCs w:val="28"/>
        </w:rPr>
        <w:t>конкурс хореографического искусства  «Созвездие»</w:t>
      </w:r>
      <w:r>
        <w:rPr>
          <w:sz w:val="28"/>
          <w:szCs w:val="28"/>
        </w:rPr>
        <w:t xml:space="preserve">, </w:t>
      </w:r>
      <w:r w:rsidRPr="00165886">
        <w:rPr>
          <w:sz w:val="28"/>
          <w:szCs w:val="28"/>
        </w:rPr>
        <w:t>конкурс среди учащихся государственных бюджетных общеобразовательных учреждений Южного управления МО и НСО «Ученик</w:t>
      </w:r>
      <w:proofErr w:type="gramEnd"/>
      <w:r w:rsidRPr="00165886">
        <w:rPr>
          <w:sz w:val="28"/>
          <w:szCs w:val="28"/>
        </w:rPr>
        <w:t xml:space="preserve"> года», конкурс технического творчества «Юный Левша»,</w:t>
      </w:r>
      <w:r>
        <w:rPr>
          <w:sz w:val="18"/>
          <w:szCs w:val="18"/>
        </w:rPr>
        <w:t xml:space="preserve"> </w:t>
      </w:r>
      <w:r w:rsidRPr="00165886">
        <w:rPr>
          <w:sz w:val="28"/>
          <w:szCs w:val="28"/>
        </w:rPr>
        <w:t>Районный конкурс социальной рекламы «Энергия здоровья», Районный конкурс юных вокалистов «Серебряный микрофон», Районный этап областной выставки  декоративно-прикладного творчества «Родные мотивы»</w:t>
      </w:r>
      <w:r>
        <w:rPr>
          <w:sz w:val="28"/>
          <w:szCs w:val="28"/>
        </w:rPr>
        <w:t xml:space="preserve">, </w:t>
      </w:r>
      <w:r w:rsidRPr="00165886">
        <w:rPr>
          <w:sz w:val="28"/>
          <w:szCs w:val="28"/>
        </w:rPr>
        <w:t>Слет детских организаций</w:t>
      </w:r>
      <w:r>
        <w:rPr>
          <w:sz w:val="28"/>
          <w:szCs w:val="28"/>
        </w:rPr>
        <w:t xml:space="preserve">. Доля </w:t>
      </w:r>
      <w:proofErr w:type="gramStart"/>
      <w:r>
        <w:rPr>
          <w:sz w:val="28"/>
          <w:szCs w:val="28"/>
        </w:rPr>
        <w:t xml:space="preserve">детей, задействованных в </w:t>
      </w:r>
      <w:r>
        <w:rPr>
          <w:sz w:val="28"/>
          <w:szCs w:val="28"/>
        </w:rPr>
        <w:lastRenderedPageBreak/>
        <w:t>мероприятиях  по вовлечению в творческую деятельность по итогам учебного года составила</w:t>
      </w:r>
      <w:proofErr w:type="gramEnd"/>
      <w:r>
        <w:rPr>
          <w:sz w:val="28"/>
          <w:szCs w:val="28"/>
        </w:rPr>
        <w:t xml:space="preserve"> 32%.</w:t>
      </w:r>
    </w:p>
    <w:p w:rsidR="00AC4AF3" w:rsidRDefault="00AC4AF3" w:rsidP="00AC4A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вовлечения молодежи в добровольческую деятельность в школах района проведена Весенняя неделя добра, </w:t>
      </w:r>
      <w:r w:rsidRPr="005B620B">
        <w:rPr>
          <w:sz w:val="28"/>
          <w:szCs w:val="28"/>
        </w:rPr>
        <w:t>Окружная интеллектуально-познавательная иг</w:t>
      </w:r>
      <w:r>
        <w:rPr>
          <w:sz w:val="28"/>
          <w:szCs w:val="28"/>
        </w:rPr>
        <w:t xml:space="preserve">ра </w:t>
      </w:r>
      <w:proofErr w:type="spellStart"/>
      <w:r>
        <w:rPr>
          <w:sz w:val="28"/>
          <w:szCs w:val="28"/>
        </w:rPr>
        <w:t>Брейн-ринг</w:t>
      </w:r>
      <w:proofErr w:type="spellEnd"/>
      <w:r>
        <w:rPr>
          <w:sz w:val="28"/>
          <w:szCs w:val="28"/>
        </w:rPr>
        <w:t xml:space="preserve"> (</w:t>
      </w:r>
      <w:r w:rsidRPr="005B620B">
        <w:rPr>
          <w:sz w:val="28"/>
          <w:szCs w:val="28"/>
        </w:rPr>
        <w:t>Тема:</w:t>
      </w:r>
      <w:proofErr w:type="gramEnd"/>
      <w:r w:rsidRPr="005B620B">
        <w:rPr>
          <w:sz w:val="28"/>
          <w:szCs w:val="28"/>
        </w:rPr>
        <w:t xml:space="preserve"> </w:t>
      </w:r>
      <w:proofErr w:type="gramStart"/>
      <w:r w:rsidRPr="005B620B">
        <w:rPr>
          <w:sz w:val="28"/>
          <w:szCs w:val="28"/>
        </w:rPr>
        <w:t>«Волонтерское движение»</w:t>
      </w:r>
      <w:r>
        <w:rPr>
          <w:sz w:val="28"/>
          <w:szCs w:val="28"/>
        </w:rPr>
        <w:t>), благотворительные акции «Ветеран живет рядом».</w:t>
      </w:r>
      <w:proofErr w:type="gramEnd"/>
    </w:p>
    <w:p w:rsidR="00AC4AF3" w:rsidRDefault="00AC4AF3" w:rsidP="00AC4AF3">
      <w:pPr>
        <w:spacing w:line="360" w:lineRule="auto"/>
        <w:ind w:firstLine="709"/>
        <w:jc w:val="both"/>
        <w:rPr>
          <w:sz w:val="28"/>
          <w:szCs w:val="28"/>
        </w:rPr>
      </w:pPr>
      <w:r w:rsidRPr="00BD5934">
        <w:rPr>
          <w:sz w:val="28"/>
          <w:szCs w:val="28"/>
        </w:rPr>
        <w:t>Проводятся мероприятия по ранней профориентации: обеспечено участие</w:t>
      </w:r>
      <w:r>
        <w:rPr>
          <w:sz w:val="28"/>
          <w:szCs w:val="28"/>
        </w:rPr>
        <w:t xml:space="preserve"> более</w:t>
      </w:r>
      <w:r w:rsidRPr="00BD5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70% </w:t>
      </w:r>
      <w:r w:rsidRPr="00BD5934">
        <w:rPr>
          <w:sz w:val="28"/>
          <w:szCs w:val="28"/>
        </w:rPr>
        <w:t xml:space="preserve">детей в открытых </w:t>
      </w:r>
      <w:proofErr w:type="spellStart"/>
      <w:r w:rsidRPr="00BD5934">
        <w:rPr>
          <w:sz w:val="28"/>
          <w:szCs w:val="28"/>
        </w:rPr>
        <w:t>онлайн-уроках</w:t>
      </w:r>
      <w:proofErr w:type="spellEnd"/>
      <w:r w:rsidRPr="00BD5934">
        <w:rPr>
          <w:sz w:val="28"/>
          <w:szCs w:val="28"/>
        </w:rPr>
        <w:t xml:space="preserve"> «</w:t>
      </w:r>
      <w:proofErr w:type="spellStart"/>
      <w:r w:rsidRPr="00BD5934">
        <w:rPr>
          <w:sz w:val="28"/>
          <w:szCs w:val="28"/>
        </w:rPr>
        <w:t>Проектория</w:t>
      </w:r>
      <w:proofErr w:type="spellEnd"/>
      <w:r w:rsidRPr="00BD59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5313" w:rsidRDefault="00AC4AF3"/>
    <w:sectPr w:rsidR="00575313" w:rsidSect="0087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AF3"/>
    <w:rsid w:val="000733C7"/>
    <w:rsid w:val="008121CF"/>
    <w:rsid w:val="008751CF"/>
    <w:rsid w:val="00AC3D6D"/>
    <w:rsid w:val="00AC4AF3"/>
    <w:rsid w:val="00F3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Company>diakov.net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Южное управление</dc:creator>
  <cp:lastModifiedBy>Южное управление</cp:lastModifiedBy>
  <cp:revision>1</cp:revision>
  <dcterms:created xsi:type="dcterms:W3CDTF">2019-07-05T10:55:00Z</dcterms:created>
  <dcterms:modified xsi:type="dcterms:W3CDTF">2019-07-05T10:55:00Z</dcterms:modified>
</cp:coreProperties>
</file>